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04DCF" w14:textId="77777777" w:rsidR="00202374" w:rsidRPr="00202374" w:rsidRDefault="00202374" w:rsidP="00202374">
      <w:pPr>
        <w:spacing w:before="75" w:beforeAutospacing="0" w:after="75" w:afterAutospacing="0"/>
        <w:ind w:left="15" w:right="15"/>
        <w:jc w:val="center"/>
        <w:outlineLvl w:val="0"/>
        <w:rPr>
          <w:rFonts w:ascii="Arial" w:eastAsia="Arial" w:hAnsi="Arial"/>
          <w:b/>
          <w:bCs/>
          <w:color w:val="0070C0"/>
          <w:kern w:val="36"/>
          <w:sz w:val="48"/>
          <w:szCs w:val="48"/>
          <w:lang w:val="fr-FR" w:eastAsia="fr-FR" w:bidi="ar-SA"/>
        </w:rPr>
      </w:pPr>
      <w:r w:rsidRPr="00202374">
        <w:rPr>
          <w:rFonts w:ascii="Arial" w:eastAsia="Arial" w:hAnsi="Arial"/>
          <w:b/>
          <w:bCs/>
          <w:color w:val="0070C0"/>
          <w:kern w:val="36"/>
          <w:sz w:val="48"/>
          <w:szCs w:val="48"/>
          <w:lang w:val="fr-FR" w:eastAsia="fr-FR" w:bidi="ar-SA"/>
        </w:rPr>
        <w:t>Accord collectif d'aménagement du temps de travail comportant une modulation des horaires</w:t>
      </w:r>
    </w:p>
    <w:p w14:paraId="0975DE30"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Entre les soussignés,</w:t>
      </w:r>
    </w:p>
    <w:p w14:paraId="09D97EB4"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La société ..... (dénomination sociale), dont le siège est situé à ..... (siège social/adresse), inscrite au Registre du commerce et des sociétés de ..... (lieu), sous le n° ..... (RCS), .....(numéro SIREN), représentée par ..... (prénom) ..... (nom), en sa qualité de ..... (qualité), dûment mandaté à la négociation et à la signature du présent accord,</w:t>
      </w:r>
    </w:p>
    <w:p w14:paraId="77DE79C2"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Dénommée ci-après « la Société »</w:t>
      </w:r>
    </w:p>
    <w:p w14:paraId="2CF1F46C"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 xml:space="preserve">d'une part, </w:t>
      </w:r>
    </w:p>
    <w:p w14:paraId="593AB145"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Et</w:t>
      </w:r>
    </w:p>
    <w:p w14:paraId="3BAF7C55"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organisations syndicales représentatives au sein de ..... (à compléter selon le niveau de négociation),</w:t>
      </w:r>
    </w:p>
    <w:p w14:paraId="5641A1AB"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  ..... (nom de l'organisation syndicale), représenté par ..... (nom et qualité de la personne qui la représente) ;</w:t>
      </w:r>
    </w:p>
    <w:p w14:paraId="2EE40054"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  ..... (nom de l'organisation syndicale), représenté par ..... (nom et qualité de la personne qui la représente) ;</w:t>
      </w:r>
    </w:p>
    <w:p w14:paraId="7BED5CDF"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Dénommée ci-après « les Organisations syndicales »,</w:t>
      </w:r>
    </w:p>
    <w:p w14:paraId="5C10C65B"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d'autre part,</w:t>
      </w:r>
    </w:p>
    <w:p w14:paraId="0A9667E7"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bidi="ar-SA"/>
        </w:rPr>
      </w:pPr>
      <w:r w:rsidRPr="00202374">
        <w:rPr>
          <w:rFonts w:ascii="Arial" w:eastAsia="Arial" w:hAnsi="Arial"/>
          <w:i/>
          <w:color w:val="EE0000"/>
          <w:sz w:val="20"/>
          <w:szCs w:val="22"/>
          <w:lang w:val="fr-FR" w:eastAsia="fr-FR" w:bidi="ar-SA"/>
        </w:rPr>
        <w:t>Remarque : le préambule expose brièvement les objectifs et le contenu de l'accord. En l'espèce il y a lieu de présenter les spécificités de l'activité de l'entreprise qui mène les partenaires sociaux à conclure un accord d'aménagement pluri-hebdomadaire du temps de travail. Est présenté ci-après un exemple qu'il y a lieu de remplacer par un autre contenu selon la situation de l'entreprise.</w:t>
      </w:r>
    </w:p>
    <w:p w14:paraId="471CD066"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parties conviennent que l'organisation du temps de travail prévue par le présent accord est indispensable pour répondre aux nécessités liées au bon fonctionnement de la société.</w:t>
      </w:r>
    </w:p>
    <w:p w14:paraId="3773BDD6"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En effet, l'activité saisonnière de la société nécessite l'organisation du temps de travail selon des périodes hautes d'activité et des périodes basses.</w:t>
      </w:r>
    </w:p>
    <w:p w14:paraId="6E4679FB"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mesures définies ci-après permettront d'optimiser la présence des salariés à leur poste de travail, afin que l'entreprise soit en mesure de s'adapter aux besoins de ses clients, de réduire ses coûts et d'éviter le recours excessif à des heures supplémentaires (en période haute) ou au dispositif d'activité partielle (en période basse).</w:t>
      </w:r>
    </w:p>
    <w:p w14:paraId="20C277B7"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Cette organisation du temps de travail vise à apprécier et décompter la durée du travail non pas sur une période hebdomadaire mais sur la période de référence déterminée par le présent accord.</w:t>
      </w:r>
    </w:p>
    <w:p w14:paraId="5F775FC0"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Dans cette perspective, il a été convenu de conclure un accord sur l'aménagement pluri-hebdomadaire du temps de travail en application de l'article L. 3121-44 du code du travail.</w:t>
      </w:r>
    </w:p>
    <w:p w14:paraId="01A13267"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1 - Champ d'application</w:t>
      </w:r>
    </w:p>
    <w:p w14:paraId="2017513E"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rPr>
      </w:pPr>
      <w:r w:rsidRPr="00202374">
        <w:rPr>
          <w:rFonts w:ascii="Arial" w:eastAsia="Arial" w:hAnsi="Arial"/>
          <w:i/>
          <w:color w:val="EE0000"/>
          <w:sz w:val="20"/>
          <w:szCs w:val="22"/>
          <w:lang w:val="fr-FR" w:eastAsia="fr-FR"/>
        </w:rPr>
        <w:t>  * Option 1 :</w:t>
      </w:r>
    </w:p>
    <w:p w14:paraId="3994775D"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 présent accord s'applique à tous les salariés de l'entreprise, quelle que soit la nature de leur contrat de travail, à durée indéterminée ou à durée déterminée, exception faite des cadres dirigeants.</w:t>
      </w:r>
    </w:p>
    <w:p w14:paraId="0FB406D6"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rPr>
      </w:pPr>
      <w:r w:rsidRPr="00202374">
        <w:rPr>
          <w:rFonts w:ascii="Arial" w:eastAsia="Arial" w:hAnsi="Arial"/>
          <w:i/>
          <w:color w:val="EE0000"/>
          <w:sz w:val="20"/>
          <w:szCs w:val="22"/>
          <w:lang w:val="fr-FR" w:eastAsia="fr-FR"/>
        </w:rPr>
        <w:t>  * Option 2 :</w:t>
      </w:r>
    </w:p>
    <w:p w14:paraId="08770C06"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lastRenderedPageBreak/>
        <w:t>Le présent accord s'applique aux catégories de salariés suivants : ..... (à préciser).</w:t>
      </w:r>
    </w:p>
    <w:p w14:paraId="5A14F235"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bidi="ar-SA"/>
        </w:rPr>
        <w:t xml:space="preserve">Remarque : </w:t>
      </w:r>
      <w:r w:rsidRPr="00202374">
        <w:rPr>
          <w:rFonts w:ascii="Arial" w:eastAsia="Arial" w:hAnsi="Arial"/>
          <w:sz w:val="22"/>
          <w:szCs w:val="22"/>
          <w:lang w:val="fr-FR" w:eastAsia="fr-FR"/>
        </w:rPr>
        <w:t>par exemple, personnel de production, personnel du service logistique, etc.</w:t>
      </w:r>
    </w:p>
    <w:p w14:paraId="709CC5A6"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2 - Période de référence</w:t>
      </w:r>
    </w:p>
    <w:p w14:paraId="49576ECF"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 xml:space="preserve">En application de l'article L. 3121-41 du code du travail, un accord d'entreprise peut définir les modalités d'aménagement du temps de travail sur une période de référence supérieure à la semaine. </w:t>
      </w:r>
    </w:p>
    <w:p w14:paraId="3A42DEA1"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Le présent accord a pour objet d'aménager le temps de travail sur une période de référence d'un an.</w:t>
      </w:r>
    </w:p>
    <w:p w14:paraId="3263A1C1"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bidi="ar-SA"/>
        </w:rPr>
        <w:t xml:space="preserve">Remarque : </w:t>
      </w:r>
      <w:r w:rsidRPr="00202374">
        <w:rPr>
          <w:rFonts w:ascii="Arial" w:eastAsia="Arial" w:hAnsi="Arial"/>
          <w:sz w:val="22"/>
          <w:szCs w:val="22"/>
          <w:lang w:val="fr-FR" w:eastAsia="fr-FR"/>
        </w:rPr>
        <w:t>la période de référence doit être supérieure à la semaine dans la limite d'un an. Cette période peut aller jusqu'à 3 ans si un accord de branche étendu l'autorise mais attention, il n'est pas sûr, en cas de contentieux, que les juges considèrent la période dépassant le cadre de l'année soit conforme aux règles européennes.</w:t>
      </w:r>
    </w:p>
    <w:p w14:paraId="334125BB"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La période de référence commence le ..... (par exemple : le 1er janvier) et se termine le ..... (par exemple : le 31 décembre) de chaque année civile.</w:t>
      </w:r>
    </w:p>
    <w:p w14:paraId="65514EBF"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bidi="ar-SA"/>
        </w:rPr>
        <w:t xml:space="preserve">Remarque : </w:t>
      </w:r>
      <w:r w:rsidRPr="00202374">
        <w:rPr>
          <w:rFonts w:ascii="Arial" w:eastAsia="Arial" w:hAnsi="Arial"/>
          <w:sz w:val="22"/>
          <w:szCs w:val="22"/>
          <w:lang w:val="fr-FR" w:eastAsia="fr-FR"/>
        </w:rPr>
        <w:t>la période de référence ne doit pas obligatoirement être l'année civile. Elle peut correspondre à toute autre période, par exemple à la période d'acquisition des congés payés pour éviter les problématiques liées à l'inadéquation de la période de référence avec celle des congés payés (par exemple : le seuil de déclenchement des heures supplémentaires reste fixé à 1 607 heures même pour les salariés n'ayant pas acquis un droit à congés payés complet).</w:t>
      </w:r>
    </w:p>
    <w:p w14:paraId="7B46F117" w14:textId="1355BA45"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bidi="ar-SA"/>
        </w:rPr>
      </w:pPr>
      <w:r w:rsidRPr="00202374">
        <w:rPr>
          <w:rFonts w:ascii="Arial" w:eastAsia="Arial" w:hAnsi="Arial"/>
          <w:i/>
          <w:color w:val="EE0000"/>
          <w:sz w:val="20"/>
          <w:szCs w:val="22"/>
          <w:lang w:val="fr-FR" w:eastAsia="fr-FR" w:bidi="ar-SA"/>
        </w:rPr>
        <w:t>  </w:t>
      </w:r>
      <w:r w:rsidRPr="00202374">
        <w:rPr>
          <w:rFonts w:ascii="Arial" w:eastAsia="Arial" w:hAnsi="Arial"/>
          <w:i/>
          <w:noProof/>
          <w:color w:val="EE0000"/>
          <w:sz w:val="20"/>
          <w:szCs w:val="22"/>
          <w:lang w:val="fr-FR" w:eastAsia="fr-FR" w:bidi="ar-SA"/>
        </w:rPr>
        <w:drawing>
          <wp:inline distT="0" distB="0" distL="0" distR="0" wp14:anchorId="4DBA7B6D" wp14:editId="15CA7776">
            <wp:extent cx="152400" cy="152400"/>
            <wp:effectExtent l="0" t="0" r="0" b="0"/>
            <wp:docPr id="141199072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02374">
        <w:rPr>
          <w:rFonts w:ascii="Arial" w:eastAsia="Arial" w:hAnsi="Arial"/>
          <w:i/>
          <w:color w:val="EE0000"/>
          <w:sz w:val="20"/>
          <w:szCs w:val="22"/>
          <w:lang w:val="fr-FR" w:eastAsia="fr-FR" w:bidi="ar-SA"/>
        </w:rPr>
        <w:t>Ajout éventuel pour les salariés embauchés ou dont le contrat est rompu en cours de période de référence :</w:t>
      </w:r>
    </w:p>
    <w:p w14:paraId="6B9BFB49"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Pour les salariés embauchés en cours de période annuelle de référence, le début de la période de référence correspond au premier jour de travail et pour les salariés quittant l'entreprise en cours de période annuelle de référence, la fin de la période annuelle de référence correspond au dernier jour de travail.</w:t>
      </w:r>
    </w:p>
    <w:p w14:paraId="5A040A24"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3 - Durée annuelle de travail, modalités de la modulation entre périodes hautes et périodes basses, durée moyenne hebdomadaire</w:t>
      </w:r>
    </w:p>
    <w:p w14:paraId="6805F333"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 temps de travail des salariés est modulé sur une base annuelle de 1 607 heures, réparties sur des semaines à hautes activités et des semaines à basse activité.</w:t>
      </w:r>
    </w:p>
    <w:p w14:paraId="474FC97D"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3.1 Semaines à haute activité</w:t>
      </w:r>
    </w:p>
    <w:p w14:paraId="5AF191B5"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Les semaines à haute activité s'entendent des semaines durant lesquelles la durée du travail hebdomadaire est supérieure à 35 heures, dans les limites des durées maximales hebdomadaires.</w:t>
      </w:r>
    </w:p>
    <w:p w14:paraId="006FA9AB"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bidi="ar-SA"/>
        </w:rPr>
      </w:pPr>
      <w:r w:rsidRPr="00202374">
        <w:rPr>
          <w:rFonts w:ascii="Arial" w:eastAsia="Arial" w:hAnsi="Arial"/>
          <w:i/>
          <w:color w:val="EE0000"/>
          <w:sz w:val="20"/>
          <w:szCs w:val="22"/>
          <w:lang w:val="fr-FR" w:eastAsia="fr-FR" w:bidi="ar-SA"/>
        </w:rPr>
        <w:t>Remarque : il est possible de prévoir une limite haute inférieure aux durées maximales légales.</w:t>
      </w:r>
    </w:p>
    <w:p w14:paraId="56CCC196"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3.2 Semaines à basse activité</w:t>
      </w:r>
    </w:p>
    <w:p w14:paraId="082B87BD"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Les semaines à basse activité s'entendent des semaines durant lesquelles la durée du travail hebdomadaire est inférieure à 35 heures.</w:t>
      </w:r>
    </w:p>
    <w:p w14:paraId="0903205A"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bidi="ar-SA"/>
        </w:rPr>
      </w:pPr>
      <w:r w:rsidRPr="00202374">
        <w:rPr>
          <w:rFonts w:ascii="Arial" w:eastAsia="Arial" w:hAnsi="Arial"/>
          <w:i/>
          <w:color w:val="EE0000"/>
          <w:sz w:val="20"/>
          <w:szCs w:val="22"/>
          <w:lang w:val="fr-FR" w:eastAsia="fr-FR" w:bidi="ar-SA"/>
        </w:rPr>
        <w:t>Remarque : il est possible de prévoir une limite basse.</w:t>
      </w:r>
    </w:p>
    <w:p w14:paraId="57FCC322"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lastRenderedPageBreak/>
        <w:t>3.3 Compensation et durée moyenne hebdomadaire</w:t>
      </w:r>
    </w:p>
    <w:p w14:paraId="16D6D029"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L'horaire hebdomadaire de travail des salariés pourra varier autour de l'horaire moyen hebdomadaire de 35 heures, dans le cadre de la période de référence, de sorte à ce que les heures effectuées au-delà et en deçà de cet horaire moyen se compensent arithmétiquement.</w:t>
      </w:r>
    </w:p>
    <w:p w14:paraId="49FC8272"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4 - Programmation indicative - Modification</w:t>
      </w:r>
    </w:p>
    <w:p w14:paraId="7725292D"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4.1 Programmation indicative transmise aux salariés au début de chaque période de référence</w:t>
      </w:r>
    </w:p>
    <w:p w14:paraId="67A9946A"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La programmation indicative du temps de travail sera déterminée par la direction de la Société et transmis aux salariés avant le début de chaque période de référence.</w:t>
      </w:r>
    </w:p>
    <w:p w14:paraId="6FAF8417"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La programmation indicative déterminera pour chaque service de la société et pour chaque semaine les horaires de travail par jour.</w:t>
      </w:r>
    </w:p>
    <w:p w14:paraId="3B6B618A"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4.2 Modification de la programmation indicative</w:t>
      </w:r>
    </w:p>
    <w:p w14:paraId="2189B64A"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 xml:space="preserve">La programmation indicative telle que communiquée aux salariés en début de période de référence pourra faire l'objet de modifications à condition que les salariés en soient informés au moins 7 jours ouvrés avant sa mise en </w:t>
      </w:r>
      <w:proofErr w:type="spellStart"/>
      <w:r w:rsidRPr="00202374">
        <w:rPr>
          <w:rFonts w:ascii="Arial" w:eastAsia="Arial" w:hAnsi="Arial"/>
          <w:sz w:val="22"/>
          <w:szCs w:val="22"/>
          <w:lang w:val="fr-FR" w:eastAsia="fr-FR"/>
        </w:rPr>
        <w:t>oeuvre</w:t>
      </w:r>
      <w:proofErr w:type="spellEnd"/>
      <w:r w:rsidRPr="00202374">
        <w:rPr>
          <w:rFonts w:ascii="Arial" w:eastAsia="Arial" w:hAnsi="Arial"/>
          <w:sz w:val="22"/>
          <w:szCs w:val="22"/>
          <w:lang w:val="fr-FR" w:eastAsia="fr-FR"/>
        </w:rPr>
        <w:t>. Lorsque des circonstances exceptionnelles telles que ..... (par exemple : sinistres, pannes de production, retards exceptionnels de livraison), le délai pourra être réduit à ..... (supérieur ou égal à 3 jours).</w:t>
      </w:r>
    </w:p>
    <w:p w14:paraId="3B22EF7A"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4.3 Consultation du comité social et économique et transmission à l'inspecteur du travail</w:t>
      </w:r>
    </w:p>
    <w:p w14:paraId="4649F6CF"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 comité social et économique est préalablement consulté sur la programmation indicative conformément aux dispositions de l'article D. 3121-27 du code du travail. Il est également consulté en cas de modification de la programmation indicative.</w:t>
      </w:r>
    </w:p>
    <w:p w14:paraId="1E8E34B9"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La programmation indicative est préalablement communiquée à l'inspecteur du travail compétent conformément aux dispositions de l'article D. 3171-4. La modification de la programmation lui est également communiquée.</w:t>
      </w:r>
    </w:p>
    <w:p w14:paraId="508968A9"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5 - Décompte des heures supplémentaires</w:t>
      </w:r>
    </w:p>
    <w:p w14:paraId="4280F1DD"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5.1 Décompte avec ou sans limitation hebdomadaire</w:t>
      </w:r>
    </w:p>
    <w:p w14:paraId="67CB7649"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rPr>
      </w:pPr>
      <w:r w:rsidRPr="00202374">
        <w:rPr>
          <w:rFonts w:ascii="Arial" w:eastAsia="Arial" w:hAnsi="Arial"/>
          <w:i/>
          <w:color w:val="EE0000"/>
          <w:sz w:val="20"/>
          <w:szCs w:val="22"/>
          <w:lang w:val="fr-FR" w:eastAsia="fr-FR"/>
        </w:rPr>
        <w:t>  * Sans limitation hebdomadaire :</w:t>
      </w:r>
    </w:p>
    <w:p w14:paraId="0385C7E8"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 xml:space="preserve">Les heures effectuées au-delà des 35 hebdomadaires ne sont pas considérées comme des heures supplémentaires. </w:t>
      </w:r>
    </w:p>
    <w:p w14:paraId="3E52CCA6"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Ces heures sont compensées avec celles effectuées durant les semaines à basse activité.</w:t>
      </w:r>
    </w:p>
    <w:p w14:paraId="0981CD15"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 xml:space="preserve">Seules les heures réalisées au-delà de la durée annuelle de 1 607 heures, à la demande de la Société, constituent des heures supplémentaires. </w:t>
      </w:r>
    </w:p>
    <w:p w14:paraId="53A54AC3"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rPr>
      </w:pPr>
      <w:r w:rsidRPr="00202374">
        <w:rPr>
          <w:rFonts w:ascii="Arial" w:eastAsia="Arial" w:hAnsi="Arial"/>
          <w:i/>
          <w:color w:val="EE0000"/>
          <w:sz w:val="20"/>
          <w:szCs w:val="22"/>
          <w:lang w:val="fr-FR" w:eastAsia="fr-FR"/>
        </w:rPr>
        <w:t>  * Avec limitation hebdomadaire :</w:t>
      </w:r>
    </w:p>
    <w:p w14:paraId="0731F428"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Constituent des heures supplémentaires, les heures effectuées à la demande de la Société :</w:t>
      </w:r>
    </w:p>
    <w:p w14:paraId="227069CA"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  au-delà de 1 607 heures, décomptées et payées à l'issue de la période de référence fixée au présent accord ;</w:t>
      </w:r>
    </w:p>
    <w:p w14:paraId="4D973A42"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  au-delà de ..... (par exemple : 37 heures) dans un cadre hebdomadaire, décomptées et payées avec le salaire du mois au cours desquelles elles sont réalisées. Ces heures ne seront pas décomptées à l'issue de la période de référence.</w:t>
      </w:r>
    </w:p>
    <w:p w14:paraId="3DA2C194"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lastRenderedPageBreak/>
        <w:t>5.2 Incidence des absences sur le décompte des heures supplémentaire</w:t>
      </w:r>
    </w:p>
    <w:p w14:paraId="27E92F2C"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absences n'étant pas constitutives d'un temps de travail effectif, elles ne sont pas comptabilisées dans les heures ouvrant droit aux contreparties des heures supplémentaires.</w:t>
      </w:r>
    </w:p>
    <w:p w14:paraId="37C36DBF"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5.3 Incidence des absences sur le seuil de déclenchement des heures supplémentaires</w:t>
      </w:r>
    </w:p>
    <w:p w14:paraId="5F560C28"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absences autres que celles liées à la maladie, à l'accident du travail ou la maternité ne doivent pas être déduites du plafond de 1 607 heures au-delà duquel le salarié bénéficie des majorations pour heures supplémentaires. En conséquence, dans de telles hypothèses, le plafond de 1 607 heures n'est pas réduit.</w:t>
      </w:r>
    </w:p>
    <w:p w14:paraId="031D3739"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Les absences liées à la maladie, l'accident du travail, la maternité donnent lieu à réduction du plafond de 1 607 heures.</w:t>
      </w:r>
    </w:p>
    <w:p w14:paraId="12DC2D46"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6 - Affichage et contrôle de la durée du travail</w:t>
      </w:r>
    </w:p>
    <w:p w14:paraId="23C18650"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La programmation indicative ainsi que ses éventuelles modifications sont affichées dans l'entreprise. Seront également affichées les heures auxquelles commence et finit le travail, les heures et la durée des repos.</w:t>
      </w:r>
    </w:p>
    <w:p w14:paraId="524A782A"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Un compteur individuel est tenu pour chaque salarié concerné par l'aménagement du temps de travail tel que prévu par le présent accord. Ce compteur individuel est renseigné sur la base des fiches d'heures effectuées chaque semaine par chaque salarié. Ces fiches sont remplies par les salariés eux-mêmes et doivent être approuvées par leur supérieur hiérarchique. Un récapitulatif mensuel sera communiqué aux salariés et signés par eux.</w:t>
      </w:r>
    </w:p>
    <w:p w14:paraId="0DF0B994"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Au terme de la période de référence ou à la date du départ du salarié si ce départ intervient au cours de la période de référence, un décompte final sera réalisé comptabilisant l'intégralité des heures effectuées depuis le début de la période de référence.</w:t>
      </w:r>
    </w:p>
    <w:p w14:paraId="670C1FD5"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7 - Rémunération des salariés</w:t>
      </w:r>
    </w:p>
    <w:p w14:paraId="572E09A4"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7.1 Principe du lissage</w:t>
      </w:r>
    </w:p>
    <w:p w14:paraId="1C34BB90"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Pour éviter une variation du salaire selon les semaines hautes et semaines basses d'activité, la rémunération des salariés est indépendante de l'horaire réellement accompli.</w:t>
      </w:r>
    </w:p>
    <w:p w14:paraId="2E0C34C4"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A ce titre, pour les salariés à temps complet, leur rémunération sera lissée sur la base de l'horaire moyen de 35 heures sur toute la période de référence.</w:t>
      </w:r>
    </w:p>
    <w:p w14:paraId="2551188C"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7.2 Incidences des arrivés et départ en cours de période de référence sur la rémunération</w:t>
      </w:r>
    </w:p>
    <w:p w14:paraId="3327886E"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Lorsqu'un salarié n'a pas travaillé pendant la totalité de la période de référence du fait de son embauche ou de son départ au cours de ladite période, une régularisation de sa rémunération sera opérée au terme de la période de référence ou la date de son départ, sur la base du temps réel accompli selon les modalités suivantes :</w:t>
      </w:r>
    </w:p>
    <w:p w14:paraId="0EA9A813"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bidi="ar-SA"/>
        </w:rPr>
      </w:pPr>
      <w:r w:rsidRPr="00202374">
        <w:rPr>
          <w:rFonts w:ascii="Arial" w:eastAsia="Arial" w:hAnsi="Arial"/>
          <w:i/>
          <w:color w:val="EE0000"/>
          <w:sz w:val="20"/>
          <w:szCs w:val="22"/>
          <w:lang w:val="fr-FR" w:eastAsia="fr-FR" w:bidi="ar-SA"/>
        </w:rPr>
        <w:t>  * En cas de solde créditeur :</w:t>
      </w:r>
    </w:p>
    <w:p w14:paraId="1DA198A7"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Si la rémunération perçue (calculée sur la base de l'horaire moyen) est inférieure aux heures réellement travaillées, la Société versera au salarié le rappel de salaire correspondant, avec paiement des heures supplémentaires le cas échéant.</w:t>
      </w:r>
    </w:p>
    <w:p w14:paraId="5B69F78A" w14:textId="77777777"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bidi="ar-SA"/>
        </w:rPr>
      </w:pPr>
      <w:r w:rsidRPr="00202374">
        <w:rPr>
          <w:rFonts w:ascii="Arial" w:eastAsia="Arial" w:hAnsi="Arial"/>
          <w:i/>
          <w:color w:val="EE0000"/>
          <w:sz w:val="20"/>
          <w:szCs w:val="22"/>
          <w:lang w:val="fr-FR" w:eastAsia="fr-FR" w:bidi="ar-SA"/>
        </w:rPr>
        <w:t>  * En cas de solde débiteur :</w:t>
      </w:r>
    </w:p>
    <w:p w14:paraId="0B4A3DCE"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Si la rémunération perçue (calculée sur la base de l'horaire moyen) est supérieure aux heures réellement travaillées :</w:t>
      </w:r>
    </w:p>
    <w:p w14:paraId="3A31C50E"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lastRenderedPageBreak/>
        <w:t>-  une régularisation du trop-perçu sera opérée par retenues successives sur les salaires dans la limite du dixième de salaire jusqu'à apurement du solde ;</w:t>
      </w:r>
    </w:p>
    <w:p w14:paraId="22616CED"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bidi="ar-SA"/>
        </w:rPr>
        <w:t xml:space="preserve">Remarque : </w:t>
      </w:r>
      <w:r w:rsidRPr="00202374">
        <w:rPr>
          <w:rFonts w:ascii="Arial" w:eastAsia="Arial" w:hAnsi="Arial"/>
          <w:sz w:val="22"/>
          <w:szCs w:val="22"/>
          <w:lang w:val="fr-FR" w:eastAsia="fr-FR"/>
        </w:rPr>
        <w:t>la régularisation salariale suite à un trop-perçu versé dans le cadre d'une rémunération lissée en raison d'un aménagement pluri-hebdomadaire du temps de travail, s'analyse comme une avance sur salaire qui ne peut donner lieu à retenue excédant le dixième du salaire exigible.</w:t>
      </w:r>
    </w:p>
    <w:p w14:paraId="0E9C747A"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  en cas de rupture du contrat de travail au cours de la période de référence, une régularisation sera opérée sur les dernières échéances de paie, préavis et solde de tout compte compris par retenues successives dans la limite du dixième de salaire. Si de telles retenues s'avéraient insuffisantes pour apurement du solde, la Société demandera aux salariés de rembourser le trop-perçu non soldé.</w:t>
      </w:r>
    </w:p>
    <w:p w14:paraId="232D1E86" w14:textId="77777777" w:rsidR="00202374" w:rsidRPr="00202374" w:rsidRDefault="00202374" w:rsidP="0020237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7.3 Incidences des absences : indemnisation et retenue</w:t>
      </w:r>
    </w:p>
    <w:p w14:paraId="14F8C8FC"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absences indemnisées le seront sur la base du temps qui aurait été travaillé si le salarié avait été présent.</w:t>
      </w:r>
    </w:p>
    <w:p w14:paraId="274317E8"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Les absences non indemnisées seront décomptées sur la base du nombre réel d'heures d'absences et calculées sur la base de la rémunération lissée (horaire moyen hebdomadaire de 35 heures).</w:t>
      </w:r>
    </w:p>
    <w:p w14:paraId="53F8E723"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8 - Durée de l'accord</w:t>
      </w:r>
    </w:p>
    <w:p w14:paraId="0EC80AFA"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Le présent accord est conclu pour une durée indéterminée et s'appliquera à compter de ..... (à préciser).</w:t>
      </w:r>
    </w:p>
    <w:p w14:paraId="2B59C375"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9 - Révision de l'accord</w:t>
      </w:r>
    </w:p>
    <w:p w14:paraId="2DAC208B"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 présent accord pourra être révisé conformément aux dispositions légales qui lui sont applicables.</w:t>
      </w:r>
    </w:p>
    <w:p w14:paraId="3F694173"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Chacune des parties pourra solliciter la révision du présent accord selon les modalités suivantes : ..... (à préciser).</w:t>
      </w:r>
    </w:p>
    <w:p w14:paraId="4400A128"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10 - Suivi et clause de rendez-vous</w:t>
      </w:r>
    </w:p>
    <w:p w14:paraId="67336733"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signataires du présent accord se réuniront ..... (préciser l'échéance) afin de dresser un bilan de son application et s'interroger sur l'opportunité d'une éventuelle révision.</w:t>
      </w:r>
    </w:p>
    <w:p w14:paraId="3A0B1068"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Ce bilan sera également transmis au comité social et économique, s'il existe. Il en sera de même au terme de chaque période de référence.</w:t>
      </w:r>
    </w:p>
    <w:p w14:paraId="55812971" w14:textId="1D6A622F" w:rsidR="00202374" w:rsidRPr="00202374" w:rsidRDefault="00202374" w:rsidP="00202374">
      <w:pPr>
        <w:spacing w:before="240" w:beforeAutospacing="0" w:after="240" w:afterAutospacing="0"/>
        <w:ind w:left="15" w:right="15"/>
        <w:rPr>
          <w:rFonts w:ascii="Arial" w:eastAsia="Arial" w:hAnsi="Arial"/>
          <w:i/>
          <w:color w:val="EE0000"/>
          <w:sz w:val="20"/>
          <w:szCs w:val="22"/>
          <w:lang w:val="fr-FR" w:eastAsia="fr-FR" w:bidi="ar-SA"/>
        </w:rPr>
      </w:pPr>
      <w:r w:rsidRPr="00202374">
        <w:rPr>
          <w:rFonts w:ascii="Arial" w:eastAsia="Arial" w:hAnsi="Arial"/>
          <w:i/>
          <w:color w:val="EE0000"/>
          <w:sz w:val="20"/>
          <w:szCs w:val="22"/>
          <w:lang w:val="fr-FR" w:eastAsia="fr-FR"/>
        </w:rPr>
        <w:t>  </w:t>
      </w:r>
      <w:r w:rsidRPr="00202374">
        <w:rPr>
          <w:rFonts w:ascii="Arial" w:eastAsia="Arial" w:hAnsi="Arial"/>
          <w:i/>
          <w:noProof/>
          <w:color w:val="EE0000"/>
          <w:sz w:val="20"/>
          <w:szCs w:val="22"/>
          <w:lang w:val="fr-FR" w:eastAsia="fr-FR"/>
        </w:rPr>
        <w:drawing>
          <wp:inline distT="0" distB="0" distL="0" distR="0" wp14:anchorId="061DD6A6" wp14:editId="58F72C46">
            <wp:extent cx="152400" cy="152400"/>
            <wp:effectExtent l="0" t="0" r="0" b="0"/>
            <wp:docPr id="181601514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02374">
        <w:rPr>
          <w:rFonts w:ascii="Arial" w:eastAsia="Arial" w:hAnsi="Arial"/>
          <w:i/>
          <w:color w:val="EE0000"/>
          <w:sz w:val="20"/>
          <w:szCs w:val="22"/>
          <w:lang w:val="fr-FR" w:eastAsia="fr-FR"/>
        </w:rPr>
        <w:t xml:space="preserve">Ajouter éventuellement : </w:t>
      </w:r>
    </w:p>
    <w:p w14:paraId="571FAEB7"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En cas d'évolution législative ou conventionnelle susceptible de remettre en cause tout ou partie des dispositions du présent accord, les parties signataires conviennent de se réunir dans un délai de ..... (à préciser) afin d'adapter lesdites dispositions.</w:t>
      </w:r>
    </w:p>
    <w:p w14:paraId="757E7413"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11 - Interprétation</w:t>
      </w:r>
    </w:p>
    <w:p w14:paraId="0F37F5B1"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Les représentants de chacune des parties signataires conviennent de se rencontrer à la requête de la partie la plus diligente, dans les ..... (à préciser) jours suivant la demande pour étudier et tenter de régler tout différend d'ordre individuel ou collectif né de l'application du présent accord.</w:t>
      </w:r>
    </w:p>
    <w:p w14:paraId="70D93348"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La demande de réunion consigne l'exposé précis du différend. La position retenue en fin de réunion fait l'objet d'un procès-verbal rédigé par la direction. Le document est remis à chacune des parties signataires.</w:t>
      </w:r>
    </w:p>
    <w:p w14:paraId="579142E5"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lastRenderedPageBreak/>
        <w:t>Jusqu'au terme de cette procédure interne, les parties contractantes s'engagent à ne susciter aucune forme d'action contentieuse liée au différend faisant l'objet de cette procédure.</w:t>
      </w:r>
    </w:p>
    <w:p w14:paraId="7AC04133"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12 - Dénonciation</w:t>
      </w:r>
    </w:p>
    <w:p w14:paraId="3C9244F4"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 présent accord, conclu sans limitation de durée, pourra être dénoncé à tout moment par l'une ou l'autre des parties signataires conformément aux dispositions légales qui lui sont applicables et sous réserve de respecter un préavis de ..... (à préciser) mois.</w:t>
      </w:r>
    </w:p>
    <w:p w14:paraId="526C0F32"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Cette dénonciation devra être notifiée à l'ensemble des autres signataires par lettre recommandée avec avis de réception.</w:t>
      </w:r>
    </w:p>
    <w:p w14:paraId="168FC0BE"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Dans ce cas, la direction et les organisations syndicales représentatives se réuniront pendant la durée du préavis pour discuter des possibilités d'un nouvel accord.</w:t>
      </w:r>
    </w:p>
    <w:p w14:paraId="23E1E8C1" w14:textId="77777777" w:rsidR="00202374" w:rsidRPr="00202374" w:rsidRDefault="00202374" w:rsidP="00202374">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202374">
        <w:rPr>
          <w:rFonts w:ascii="Arial" w:eastAsia="Arial" w:hAnsi="Arial"/>
          <w:b/>
          <w:bCs/>
          <w:color w:val="0070C0"/>
          <w:sz w:val="22"/>
          <w:szCs w:val="28"/>
          <w:lang w:val="fr-FR" w:eastAsia="fr-FR"/>
        </w:rPr>
        <w:t>Article 13 - Notification et dépôt</w:t>
      </w:r>
    </w:p>
    <w:p w14:paraId="2CAB02A4"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Conformément aux articles D. 2231-2 et D. 2231-4 du code du travail, le présent accord sera déposé par la société sur la plateforme de téléprocédure du ministère du travail. Un exemplaire sera remis au secrétariat-greffe du conseil de prud'hommes compétent.</w:t>
      </w:r>
    </w:p>
    <w:p w14:paraId="37910ED7"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Conformément à l'article L. 2231-5-1 du code du travail, le présent accord sera, après anonymisation des noms et prénoms des négociateurs et des signataires de l'accord, rendu public et versé dans la base de données nationale des accords collectifs.</w:t>
      </w:r>
    </w:p>
    <w:p w14:paraId="52F32FF6"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Après anonymisation des noms et prénoms des négociateurs et des signataires de l'accord, la direction remettra un exemplaire du présent accord à la commission paritaire permanente de négociation et d'interprétation de ..... (à préciser) pour information. Elle en informera les autres parties signataires.</w:t>
      </w:r>
    </w:p>
    <w:p w14:paraId="5683D2BF"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 présent accord sera notifié à chacune des organisations syndicales représentatives.</w:t>
      </w:r>
    </w:p>
    <w:p w14:paraId="1A38D62F"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Le présent accord sera porté à la connaissance du personnel selon les modalités suivantes : ..... (à préciser).</w:t>
      </w:r>
    </w:p>
    <w:p w14:paraId="117D9907"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Le présent accord sera remis aux membres de la délégation du personnel au comité économique et social.</w:t>
      </w:r>
    </w:p>
    <w:p w14:paraId="1A644DC1"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rPr>
      </w:pPr>
      <w:r w:rsidRPr="00202374">
        <w:rPr>
          <w:rFonts w:ascii="Arial" w:eastAsia="Arial" w:hAnsi="Arial"/>
          <w:sz w:val="22"/>
          <w:szCs w:val="22"/>
          <w:lang w:val="fr-FR" w:eastAsia="fr-FR"/>
        </w:rPr>
        <w:t>Fait à ..... (lieu), le ..... (date)</w:t>
      </w:r>
    </w:p>
    <w:p w14:paraId="15079F09" w14:textId="77777777" w:rsidR="00202374" w:rsidRPr="00202374" w:rsidRDefault="00202374" w:rsidP="00202374">
      <w:pPr>
        <w:spacing w:before="75" w:beforeAutospacing="0" w:after="75" w:afterAutospacing="0"/>
        <w:ind w:left="15" w:right="15"/>
        <w:rPr>
          <w:rFonts w:ascii="Arial" w:eastAsia="Arial" w:hAnsi="Arial"/>
          <w:sz w:val="22"/>
          <w:szCs w:val="22"/>
          <w:lang w:val="fr-FR" w:eastAsia="fr-FR" w:bidi="ar-SA"/>
        </w:rPr>
      </w:pPr>
      <w:r w:rsidRPr="00202374">
        <w:rPr>
          <w:rFonts w:ascii="Arial" w:eastAsia="Arial" w:hAnsi="Arial"/>
          <w:sz w:val="22"/>
          <w:szCs w:val="22"/>
          <w:lang w:val="fr-FR" w:eastAsia="fr-FR"/>
        </w:rPr>
        <w:t>Signature(s)</w:t>
      </w:r>
    </w:p>
    <w:p w14:paraId="6FD88C92"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7BF"/>
    <w:rsid w:val="00064479"/>
    <w:rsid w:val="00156399"/>
    <w:rsid w:val="002001D9"/>
    <w:rsid w:val="00202374"/>
    <w:rsid w:val="00206C48"/>
    <w:rsid w:val="003049CA"/>
    <w:rsid w:val="004909A3"/>
    <w:rsid w:val="00626B36"/>
    <w:rsid w:val="00936AA0"/>
    <w:rsid w:val="009447BF"/>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6B6CD2-8D64-4C07-B3DB-4E09F3B0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9447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9447B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447B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9447B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447B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447B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447BF"/>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447B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9447BF"/>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9447BF"/>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9447BF"/>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9447BF"/>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9447BF"/>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9447BF"/>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9447BF"/>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9447BF"/>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9447BF"/>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447BF"/>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9447B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447BF"/>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9447BF"/>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447BF"/>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9447BF"/>
    <w:pPr>
      <w:ind w:left="720"/>
      <w:contextualSpacing/>
    </w:pPr>
  </w:style>
  <w:style w:type="character" w:styleId="Accentuationintense">
    <w:name w:val="Intense Emphasis"/>
    <w:basedOn w:val="Policepardfaut"/>
    <w:uiPriority w:val="21"/>
    <w:qFormat/>
    <w:rsid w:val="009447BF"/>
    <w:rPr>
      <w:i/>
      <w:iCs/>
      <w:color w:val="0F4761" w:themeColor="accent1" w:themeShade="BF"/>
    </w:rPr>
  </w:style>
  <w:style w:type="paragraph" w:styleId="Citationintense">
    <w:name w:val="Intense Quote"/>
    <w:basedOn w:val="Normal"/>
    <w:next w:val="Normal"/>
    <w:link w:val="CitationintenseCar"/>
    <w:uiPriority w:val="30"/>
    <w:qFormat/>
    <w:rsid w:val="009447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447BF"/>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9447BF"/>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2429</Words>
  <Characters>13364</Characters>
  <Application>Microsoft Office Word</Application>
  <DocSecurity>0</DocSecurity>
  <Lines>111</Lines>
  <Paragraphs>31</Paragraphs>
  <ScaleCrop>false</ScaleCrop>
  <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2026-05-11T14:37:00Z</dcterms:created>
  <dcterms:modified xsi:type="dcterms:W3CDTF">2026-05-11T14:41:00Z</dcterms:modified>
</cp:coreProperties>
</file>